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INFORMACIÓN REGISTRAL DE LA FINCA 110 DE EL EJIDO que incorpora su titularidad y cargas actuales así como los documentos presentados con posterioridad al judicial antes descrito.</w:t>
      </w: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117F44" w:rsidRPr="002344EB" w:rsidRDefault="00117F44" w:rsidP="00117F44">
      <w:pPr>
        <w:spacing w:after="0" w:line="240" w:lineRule="auto"/>
        <w:jc w:val="center"/>
        <w:outlineLvl w:val="2"/>
        <w:rPr>
          <w:rFonts w:ascii="Arial Unicode MS" w:eastAsia="Arial Unicode MS" w:hAnsi="Arial Unicode MS" w:cs="Arial Unicode MS"/>
          <w:b/>
          <w:bCs/>
          <w:sz w:val="28"/>
          <w:szCs w:val="28"/>
          <w:lang w:eastAsia="es-ES"/>
        </w:rPr>
      </w:pPr>
      <w:r w:rsidRPr="002344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s-ES"/>
        </w:rPr>
        <w:t>FINCA Nº  110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s-ES"/>
        </w:rPr>
        <w:t xml:space="preserve"> de El Ejido</w:t>
      </w:r>
      <w:r w:rsidRPr="002344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s-ES"/>
        </w:rPr>
        <w:t>.- C.R.U.  04018777777-F</w:t>
      </w:r>
    </w:p>
    <w:p w:rsidR="00117F44" w:rsidRPr="002344EB" w:rsidRDefault="00117F44" w:rsidP="00117F4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2344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s-ES"/>
        </w:rPr>
        <w:t xml:space="preserve">URBANA: CASA UNIFAMILIAR </w:t>
      </w:r>
      <w:r w:rsidRPr="002344EB"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>demarcada con el número 4  de la calle Cruz del llamado sitio de los Porrazos, término municipal de El Ejido, sita sobre un solar de unos cuatrocientos metros cuadrados, con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>sta de una sola planta distribui</w:t>
      </w:r>
      <w:r w:rsidRPr="002344EB"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>da en diferentes habitaciones y servicios de doscientos dieciocho metros cuadrados construidos, ded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 xml:space="preserve">icándose el resto del solar </w:t>
      </w:r>
      <w:r w:rsidRPr="002344EB"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 xml:space="preserve">a jardines y huerta. Linda al norte con calle particular denominada Cruz, al sur con finca de Benigno Malasangre el Loco, al este con herederos del </w:t>
      </w:r>
      <w:proofErr w:type="spellStart"/>
      <w:r w:rsidRPr="002344EB"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>Cascaporras</w:t>
      </w:r>
      <w:proofErr w:type="spellEnd"/>
      <w:r w:rsidRPr="002344EB">
        <w:rPr>
          <w:rFonts w:ascii="Times New Roman" w:eastAsia="Arial Unicode MS" w:hAnsi="Times New Roman" w:cs="Times New Roman"/>
          <w:color w:val="000000"/>
          <w:sz w:val="28"/>
          <w:szCs w:val="28"/>
          <w:lang w:eastAsia="es-ES"/>
        </w:rPr>
        <w:t xml:space="preserve"> y al oeste con Parque Infantil Municipal denominado “La Casa de los Capones”.</w:t>
      </w:r>
    </w:p>
    <w:p w:rsidR="00117F44" w:rsidRDefault="00117F44" w:rsidP="00117F4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117F44" w:rsidRPr="004C4B88" w:rsidRDefault="00117F44" w:rsidP="00117F4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TITULARES</w:t>
      </w: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la inscripción 1ª</w:t>
      </w:r>
      <w:proofErr w:type="gramStart"/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D</w:t>
      </w:r>
      <w:proofErr w:type="gramEnd"/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Abdon</w:t>
      </w:r>
      <w:proofErr w:type="spellEnd"/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 es titular del pleno dominio con carácter privativo, sin perjuicio del derecho de uso de la inscripción 4ª.</w:t>
      </w:r>
    </w:p>
    <w:p w:rsidR="00117F44" w:rsidRPr="004C4B88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Fecha inscripción: 2/1/2010.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</w:p>
    <w:p w:rsidR="00117F44" w:rsidRPr="004C4B88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117F44" w:rsidRPr="004C4B88" w:rsidRDefault="00117F44" w:rsidP="00117F4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CARGAS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: </w:t>
      </w: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INSCRIPCION 2º: HIPOTECA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 favor de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CAJA GRUNCH, en garantía del saldo resultante de una cuenta corriente de crédito.</w:t>
      </w:r>
    </w:p>
    <w:p w:rsidR="00117F44" w:rsidRPr="004C4B88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ab/>
        <w:t>Fecha inscripción: 1/8/2010.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principal 100.000 euros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intereses ordinarios: 1 año al 5%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intereses de demora: 2 años al 10%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costas procesales: 10.000 euros.</w:t>
      </w:r>
    </w:p>
    <w:p w:rsidR="00117F44" w:rsidRDefault="00117F44" w:rsidP="00117F44">
      <w:pPr>
        <w:spacing w:after="0" w:line="240" w:lineRule="auto"/>
        <w:ind w:left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VALOR PARA SUBASTA: 150.000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INSCRIPCIÓN 3ª: HIPOTECA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 favor de Banco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Antúnez, 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S.A. para responder de la devolución de un préstamo concedido a D.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Abdón A.A.</w:t>
      </w:r>
    </w:p>
    <w:p w:rsidR="00117F44" w:rsidRPr="004C4B88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ab/>
        <w:t>Fecha inscripción: 15/11/2014.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Por principal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10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0.000 euros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intereses ordinarios: 1 año al 5%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Por intereses de demora: 2 años al 10%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Pr="004C4B88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Por costas procesales: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10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.000 euros.</w:t>
      </w:r>
    </w:p>
    <w:p w:rsidR="00117F44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VALOR PARA SUBASTA: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300</w:t>
      </w:r>
      <w:r w:rsidRPr="004C4B88">
        <w:rPr>
          <w:rFonts w:ascii="Times New Roman" w:eastAsiaTheme="minorEastAsia" w:hAnsi="Times New Roman" w:cs="Times New Roman"/>
          <w:sz w:val="28"/>
          <w:szCs w:val="28"/>
          <w:lang w:eastAsia="es-ES"/>
        </w:rPr>
        <w:t>.000 euros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03164C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Observaciones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: </w:t>
      </w:r>
      <w:r w:rsidRPr="0003164C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es vivienda habitual del hipotecante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117F44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 w:rsidRPr="00F73BC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A los efectos de los artículos 688 y 689 de la L.E.C. consta en fecha 5 de enero de 2015 nota marginal de expedición de </w:t>
      </w:r>
      <w:r w:rsidRPr="00F73BC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lastRenderedPageBreak/>
        <w:t>certificación de dominio y cargas en el procedimiento de ejecución hipotecaria 1/2015, Juzgado de 1ª Instancia de Motril.</w:t>
      </w:r>
    </w:p>
    <w:p w:rsidR="00117F44" w:rsidRPr="004C4B88" w:rsidRDefault="00117F44" w:rsidP="00117F44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30492B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INSCRIPCIÓN 4ª: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USO VIVIENDA FAMILIAR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a favor de Doña Anastasia B.B. y de su hijo menor de edad Don Bonifacio A.B., conforme al artículo 96 del Código Civil.</w:t>
      </w: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ab/>
        <w:t>Fecha inscripción: 1/12/2014.</w:t>
      </w:r>
    </w:p>
    <w:p w:rsidR="00117F44" w:rsidRDefault="00117F44" w:rsidP="00117F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ASIENTOS DE PRESENTACIÓN PENDIENTES</w:t>
      </w: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1.- Decreto de adjudicación, procedimiento ejecución hipotecaria 1/2015 del Juzgado 1ª Instancia de Motril (nota aclaratoria, es el documento objeto de la presente calificación).</w:t>
      </w: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2.- Mandamiento del Juzgado 1ª Instancia de El Ejido de 10 de noviembre de 2016, solicitando expedición de certificación de dominio y cargas en procedimiento de ejecución hipotecaria 1/2016 de Caja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Gruch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contra Don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Abdon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A.A.</w:t>
      </w:r>
    </w:p>
    <w:p w:rsidR="00117F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3.- Auto de fecha 30 de octubre de 2016 del Juzgado de lo Mercantil de Madrid declarando en situación de concurso a Don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Abdon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A.A.</w:t>
      </w:r>
    </w:p>
    <w:p w:rsidR="00117F44" w:rsidRPr="00450B44" w:rsidRDefault="00117F44" w:rsidP="00117F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4.- Escritura pública de dación en pago parcial de deuda, condonación parcial de deuda y cancelación de hipoteca de fecha 20 de noviembre de 2014 otorgada por Banco Antúnez, S.A., respecto de la hipoteca objeto de la inscripción 3ª.</w:t>
      </w:r>
    </w:p>
    <w:p w:rsidR="008F7D29" w:rsidRDefault="008F7D29"/>
    <w:sectPr w:rsidR="008F7D2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11" w:rsidRDefault="00FF5A11" w:rsidP="00FF5A11">
      <w:pPr>
        <w:spacing w:after="0" w:line="240" w:lineRule="auto"/>
      </w:pPr>
      <w:r>
        <w:separator/>
      </w:r>
    </w:p>
  </w:endnote>
  <w:endnote w:type="continuationSeparator" w:id="0">
    <w:p w:rsidR="00FF5A11" w:rsidRDefault="00FF5A11" w:rsidP="00F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169431"/>
      <w:docPartObj>
        <w:docPartGallery w:val="Page Numbers (Bottom of Page)"/>
        <w:docPartUnique/>
      </w:docPartObj>
    </w:sdtPr>
    <w:sdtEndPr/>
    <w:sdtContent>
      <w:p w:rsidR="00FF5A11" w:rsidRDefault="00FF5A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DE">
          <w:rPr>
            <w:noProof/>
          </w:rPr>
          <w:t>2</w:t>
        </w:r>
        <w:r>
          <w:fldChar w:fldCharType="end"/>
        </w:r>
      </w:p>
    </w:sdtContent>
  </w:sdt>
  <w:p w:rsidR="00FF5A11" w:rsidRDefault="00FF5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11" w:rsidRDefault="00FF5A11" w:rsidP="00FF5A11">
      <w:pPr>
        <w:spacing w:after="0" w:line="240" w:lineRule="auto"/>
      </w:pPr>
      <w:r>
        <w:separator/>
      </w:r>
    </w:p>
  </w:footnote>
  <w:footnote w:type="continuationSeparator" w:id="0">
    <w:p w:rsidR="00FF5A11" w:rsidRDefault="00FF5A11" w:rsidP="00FF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4"/>
    <w:rsid w:val="00117F44"/>
    <w:rsid w:val="006A01DA"/>
    <w:rsid w:val="008F7D29"/>
    <w:rsid w:val="00C424D4"/>
    <w:rsid w:val="00CD73DE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A11"/>
  </w:style>
  <w:style w:type="paragraph" w:styleId="Piedepgina">
    <w:name w:val="footer"/>
    <w:basedOn w:val="Normal"/>
    <w:link w:val="PiedepginaCar"/>
    <w:uiPriority w:val="99"/>
    <w:unhideWhenUsed/>
    <w:rsid w:val="00F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A11"/>
  </w:style>
  <w:style w:type="paragraph" w:styleId="Piedepgina">
    <w:name w:val="footer"/>
    <w:basedOn w:val="Normal"/>
    <w:link w:val="PiedepginaCar"/>
    <w:uiPriority w:val="99"/>
    <w:unhideWhenUsed/>
    <w:rsid w:val="00F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4</cp:revision>
  <dcterms:created xsi:type="dcterms:W3CDTF">2016-11-20T17:25:00Z</dcterms:created>
  <dcterms:modified xsi:type="dcterms:W3CDTF">2016-11-20T19:07:00Z</dcterms:modified>
</cp:coreProperties>
</file>